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6"/>
        <w:gridCol w:w="43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545080" cy="1737360"/>
                  <wp:effectExtent l="0" t="0" r="7620" b="0"/>
                  <wp:docPr id="1" name="Рисунок 1" descr="hello_html_m2d302d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ello_html_m2d302d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Консультация на тему: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«Развитие детей до трех лет»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возрасту здоровый ребенок удваивает свой вес, к году - утраивает.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Первые три года жизни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Раннее детство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Правильное развитие и воспитание ребенка раннего возраста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Прежде всего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5"/>
    <w:rsid w:val="003D1DE5"/>
    <w:rsid w:val="004D74C6"/>
    <w:rsid w:val="0C5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787</Words>
  <Characters>4489</Characters>
  <Lines>37</Lines>
  <Paragraphs>10</Paragraphs>
  <TotalTime>2</TotalTime>
  <ScaleCrop>false</ScaleCrop>
  <LinksUpToDate>false</LinksUpToDate>
  <CharactersWithSpaces>5266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2020-08-06T14:32:00Z</dcterms:created>
  <dc:creator>Admin</dc:creator>
  <cp:lastModifiedBy>Admin</cp:lastModifiedBy>
  <dcterms:modified xsi:type="dcterms:W3CDTF">2020-08-06T15:07:39Z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